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583E" w:rsidRPr="0090198D" w:rsidRDefault="00E0583E" w:rsidP="00FD016B">
      <w:pPr>
        <w:shd w:val="clear" w:color="auto" w:fill="FFFFFF"/>
        <w:spacing w:before="120" w:after="120" w:line="300" w:lineRule="atLeast"/>
        <w:jc w:val="center"/>
        <w:rPr>
          <w:rFonts w:eastAsia="Times New Roman" w:cs="Times New Roman"/>
          <w:b/>
          <w:bCs/>
          <w:sz w:val="24"/>
          <w:szCs w:val="24"/>
        </w:rPr>
      </w:pPr>
      <w:bookmarkStart w:id="0" w:name="_GoBack"/>
      <w:bookmarkEnd w:id="0"/>
      <w:r w:rsidRPr="0090198D">
        <w:rPr>
          <w:rFonts w:eastAsia="Times New Roman" w:cs="Times New Roman"/>
          <w:b/>
          <w:bCs/>
          <w:sz w:val="24"/>
          <w:szCs w:val="24"/>
        </w:rPr>
        <w:t>Thông báo công khai đấu giá tài sản</w:t>
      </w:r>
    </w:p>
    <w:p w:rsidR="000F06C7" w:rsidRDefault="00E0583E" w:rsidP="00D41CBC">
      <w:pPr>
        <w:shd w:val="clear" w:color="auto" w:fill="FFFFFF"/>
        <w:spacing w:before="120" w:after="120" w:line="240" w:lineRule="auto"/>
        <w:jc w:val="both"/>
        <w:rPr>
          <w:rFonts w:eastAsia="Times New Roman" w:cs="Times New Roman"/>
          <w:sz w:val="24"/>
          <w:szCs w:val="24"/>
        </w:rPr>
      </w:pPr>
      <w:r w:rsidRPr="0090198D">
        <w:rPr>
          <w:rFonts w:eastAsia="Times New Roman" w:cs="Times New Roman"/>
          <w:sz w:val="24"/>
          <w:szCs w:val="24"/>
        </w:rPr>
        <w:t xml:space="preserve">Bộ Tư pháp đã ban hành Thông tư số 19/2024/TT-BTP ngày 31/12/2024 quy đinh chi tiết và hướng dẫn thi hành một số điều của Luật Đấu giá tài sản tài sản. </w:t>
      </w:r>
      <w:r w:rsidR="0015334E" w:rsidRPr="0090198D">
        <w:rPr>
          <w:rFonts w:eastAsia="Times New Roman" w:cs="Times New Roman"/>
          <w:sz w:val="24"/>
          <w:szCs w:val="24"/>
        </w:rPr>
        <w:t>Thông tư này có hiệu lực kể từ ngày 01 tháng 01 năm 2025</w:t>
      </w:r>
      <w:r w:rsidR="0015334E">
        <w:rPr>
          <w:rFonts w:eastAsia="Times New Roman" w:cs="Times New Roman"/>
          <w:sz w:val="24"/>
          <w:szCs w:val="24"/>
        </w:rPr>
        <w:t>.</w:t>
      </w:r>
    </w:p>
    <w:p w:rsidR="00E0583E" w:rsidRPr="0090198D" w:rsidRDefault="000F06C7" w:rsidP="00D41CBC">
      <w:pPr>
        <w:shd w:val="clear" w:color="auto" w:fill="FFFFFF"/>
        <w:spacing w:before="120" w:after="120" w:line="240" w:lineRule="auto"/>
        <w:jc w:val="both"/>
        <w:rPr>
          <w:rFonts w:eastAsia="Times New Roman" w:cs="Times New Roman"/>
          <w:sz w:val="24"/>
          <w:szCs w:val="24"/>
        </w:rPr>
      </w:pPr>
      <w:r>
        <w:rPr>
          <w:rFonts w:eastAsia="Times New Roman" w:cs="Times New Roman"/>
          <w:sz w:val="24"/>
          <w:szCs w:val="24"/>
        </w:rPr>
        <w:t xml:space="preserve">1. </w:t>
      </w:r>
      <w:r w:rsidR="00E0583E" w:rsidRPr="0090198D">
        <w:rPr>
          <w:rFonts w:eastAsia="Times New Roman" w:cs="Times New Roman"/>
          <w:sz w:val="24"/>
          <w:szCs w:val="24"/>
        </w:rPr>
        <w:t>Thông tư quy định sau khi có quyết định của người có thẩm quyền về việc đấu giá tài sản, người có tài sản đấu giá thông báo công khai trên trang thông tin điện tử của mình và Cổng Đấu giá tài sản quốc gia về việc lựa chọn tổ chức hành nghề đấu giá tài sản. Người có tài sản đấu giá thông báo công khai việc lựa chọn tổ chức hành nghề đấu giá tài sản trong thời hạn ít nhất là 03 ngày làm việc trước ngày hết hạn nộp hồ sơ tham gia lựa chọn tổ chức hành nghề đấu giá tài sản.Tổ chức hành nghề đấu giá tài sản nộp 01 bộ hồ sơ tham gia lựa chọn bằng bản giấy hoặc bản sao điện tử theo thông báo của người có tài sản đấu giá.</w:t>
      </w:r>
    </w:p>
    <w:p w:rsidR="00E0583E" w:rsidRPr="0090198D" w:rsidRDefault="00E0583E" w:rsidP="00D41CBC">
      <w:pPr>
        <w:shd w:val="clear" w:color="auto" w:fill="FFFFFF"/>
        <w:spacing w:before="120" w:after="120" w:line="240" w:lineRule="auto"/>
        <w:jc w:val="both"/>
        <w:rPr>
          <w:rFonts w:eastAsia="Times New Roman" w:cs="Times New Roman"/>
          <w:sz w:val="24"/>
          <w:szCs w:val="24"/>
        </w:rPr>
      </w:pPr>
      <w:r w:rsidRPr="0090198D">
        <w:rPr>
          <w:rFonts w:eastAsia="Times New Roman" w:cs="Times New Roman"/>
          <w:sz w:val="24"/>
          <w:szCs w:val="24"/>
        </w:rPr>
        <w:t>Người có tài sản đấu giá không được yêu cầu tổ chức hành nghề đấu giá tài sản nộp bản chính, bản sao có chứng thực hoặc bản chụp hợp đồng dịch vụ đấu giá tài sản, hồ sơ cuộc đấu giá. Người có tài sản đấu giá tự đánh giá hoặc thành lập tổ đánh giá hoặc lựa chọn hình thức khác để đánh giá các tiêu chí lựa chọn tổ chức hành nghề đấu giá tài sản và chịu trách nhiệm về việc đánh giá này.</w:t>
      </w:r>
    </w:p>
    <w:p w:rsidR="00E0583E" w:rsidRPr="0090198D" w:rsidRDefault="00E0583E" w:rsidP="00D41CBC">
      <w:pPr>
        <w:shd w:val="clear" w:color="auto" w:fill="FFFFFF"/>
        <w:spacing w:before="120" w:after="120" w:line="240" w:lineRule="auto"/>
        <w:jc w:val="both"/>
        <w:rPr>
          <w:rFonts w:eastAsia="Times New Roman" w:cs="Times New Roman"/>
          <w:sz w:val="24"/>
          <w:szCs w:val="24"/>
        </w:rPr>
      </w:pPr>
      <w:r w:rsidRPr="0090198D">
        <w:rPr>
          <w:rFonts w:eastAsia="Times New Roman" w:cs="Times New Roman"/>
          <w:sz w:val="24"/>
          <w:szCs w:val="24"/>
        </w:rPr>
        <w:t>Sau khi có kết quả lựa chọn tổ chức hành nghề đấu giá tài sản mà người có tài sản nhận được văn bản của cơ quan có thẩm quyền về việc tổ chức hành nghề đấu giá tài sản được lựa chọn đã giả mạo hồ sơ hoặc cố ý cung cấp thông tin làm sai lệch hồ sơ tham gia lựa chọn thì thực hiện như sau:</w:t>
      </w:r>
    </w:p>
    <w:p w:rsidR="00E0583E" w:rsidRPr="0090198D" w:rsidRDefault="00E0583E" w:rsidP="00D41CBC">
      <w:pPr>
        <w:shd w:val="clear" w:color="auto" w:fill="FFFFFF"/>
        <w:spacing w:before="120" w:after="120" w:line="240" w:lineRule="auto"/>
        <w:jc w:val="both"/>
        <w:rPr>
          <w:rFonts w:eastAsia="Times New Roman" w:cs="Times New Roman"/>
          <w:sz w:val="24"/>
          <w:szCs w:val="24"/>
        </w:rPr>
      </w:pPr>
      <w:r w:rsidRPr="0090198D">
        <w:rPr>
          <w:rFonts w:eastAsia="Times New Roman" w:cs="Times New Roman"/>
          <w:sz w:val="24"/>
          <w:szCs w:val="24"/>
        </w:rPr>
        <w:t>- Trường hợp chưa ký hợp đồng dịch vụ đấu giá tài sản thì người có tài sản đấu giá hủy bỏ kết quả lựa chọn tổ chức hành nghề đấu giá tài sản đó;</w:t>
      </w:r>
    </w:p>
    <w:p w:rsidR="00E0583E" w:rsidRPr="0090198D" w:rsidRDefault="00E0583E" w:rsidP="00D41CBC">
      <w:pPr>
        <w:shd w:val="clear" w:color="auto" w:fill="FFFFFF"/>
        <w:spacing w:before="120" w:after="120" w:line="240" w:lineRule="auto"/>
        <w:jc w:val="both"/>
        <w:rPr>
          <w:rFonts w:eastAsia="Times New Roman" w:cs="Times New Roman"/>
          <w:sz w:val="24"/>
          <w:szCs w:val="24"/>
        </w:rPr>
      </w:pPr>
      <w:r w:rsidRPr="0090198D">
        <w:rPr>
          <w:rFonts w:eastAsia="Times New Roman" w:cs="Times New Roman"/>
          <w:sz w:val="24"/>
          <w:szCs w:val="24"/>
        </w:rPr>
        <w:t>- Trường hợp đã ký hợp đồng dịch vụ đấu giá tài sản và tổ chức hành nghề đấu giá tài sản chưa nhận hồ sơ tham gia đấu giá của người tham gia đấu giá thì người có tài sản đấu giá hủy bỏ kết quả lựa chọn tổ chức hành nghề đấu giá tài sản đồng thời đơn phương chấm dứt thực hiện hợp đồng dịch vụ đấu giá tài sản đối với tổ chức hành nghề đấu giá tài sản đó;</w:t>
      </w:r>
    </w:p>
    <w:p w:rsidR="00E0583E" w:rsidRPr="0090198D" w:rsidRDefault="00E0583E" w:rsidP="00D41CBC">
      <w:pPr>
        <w:shd w:val="clear" w:color="auto" w:fill="FFFFFF"/>
        <w:spacing w:before="120" w:after="120" w:line="240" w:lineRule="auto"/>
        <w:jc w:val="both"/>
        <w:rPr>
          <w:rFonts w:eastAsia="Times New Roman" w:cs="Times New Roman"/>
          <w:sz w:val="24"/>
          <w:szCs w:val="24"/>
        </w:rPr>
      </w:pPr>
      <w:r w:rsidRPr="0090198D">
        <w:rPr>
          <w:rFonts w:eastAsia="Times New Roman" w:cs="Times New Roman"/>
          <w:sz w:val="24"/>
          <w:szCs w:val="24"/>
        </w:rPr>
        <w:t>- Trường hợp đã ký hợp đồng dịch vụ đấu giá tài sản và tổ chức hành nghề đấu giá tài sản đã nhận hồ sơ tham gia đấu giá của người tham gia đấu giá thì người có tài sản đấu giá xem xét, quyết định hủy bỏ kết quả lựa chọn tổ chức hành nghề đấu giá tài sản và chấm dứt hợp đồng dịch vụ đấu giá tài sản nếu hợp đồng dịch vụ đấu giá tài sản có thỏa thuận về vấn đề này hoặc đề nghị Tòa án tuyên bố hợp đồng dịch vụ đấu giá tài sản vô hiệu theo quy định của pháp luật.</w:t>
      </w:r>
    </w:p>
    <w:p w:rsidR="00E0583E" w:rsidRPr="0090198D" w:rsidRDefault="000F06C7" w:rsidP="00D41CBC">
      <w:pPr>
        <w:shd w:val="clear" w:color="auto" w:fill="FFFFFF"/>
        <w:spacing w:before="120" w:after="120" w:line="240" w:lineRule="auto"/>
        <w:jc w:val="both"/>
        <w:rPr>
          <w:rFonts w:eastAsia="Times New Roman" w:cs="Times New Roman"/>
          <w:sz w:val="24"/>
          <w:szCs w:val="24"/>
        </w:rPr>
      </w:pPr>
      <w:r>
        <w:rPr>
          <w:rFonts w:eastAsia="Times New Roman" w:cs="Times New Roman"/>
          <w:sz w:val="24"/>
          <w:szCs w:val="24"/>
        </w:rPr>
        <w:t xml:space="preserve">2. </w:t>
      </w:r>
      <w:r w:rsidR="00E0583E" w:rsidRPr="0090198D">
        <w:rPr>
          <w:rFonts w:eastAsia="Times New Roman" w:cs="Times New Roman"/>
          <w:sz w:val="24"/>
          <w:szCs w:val="24"/>
        </w:rPr>
        <w:t>Thông tư cũng quy định các trường hợp người có tài sản đấu giá từ chối đánh giá hồ sơ tham gia lựa chọn của tổ chức hành nghề đấu giá tài sản trong trường hợp người sở hữu tài sản, người được chủ sở hữu tài sản ủy quyền đấu giá tài sản, người có quyền đưa tài sản ra đấu giá theo thỏa thuận hoặc theo quy định của pháp luật, người ký hợp đồng dịch vụ đấu giá tài sản là vợ, chồng, anh ruột, chị ruột, em ruột của người đứng đầu Trung tâm dịch vụ đấu giá tài sản, Chủ tịch Hội đồng thành viên, thành viên hợp danh, người đại diện theo pháp luật của doanh nghiệp đấu giá tài sản. Người sở hữu tài sản, người được chủ sở hữu tài sản ủy quyền đấu giá tài sản, người có quyền đưa tài sản ra đấu giá theo thỏa thuận hoặc theo quy định của pháp luật, người ký hợp đồng dịch vụ đấu giá tài sản là cá nhân, tổ chức có khả năng chi phối hoạt động của tổ chức hành nghề đấu giá tài sản đó thông qua sở hữu, thâu tóm phần vốn góp hoặc thông qua việc ra quyết định của tổ chức hành nghề đấu giá tài sản đó.</w:t>
      </w:r>
    </w:p>
    <w:p w:rsidR="00E0583E" w:rsidRPr="0090198D" w:rsidRDefault="00E0583E" w:rsidP="00D41CBC">
      <w:pPr>
        <w:shd w:val="clear" w:color="auto" w:fill="FFFFFF"/>
        <w:spacing w:before="120" w:after="120" w:line="240" w:lineRule="auto"/>
        <w:jc w:val="both"/>
        <w:rPr>
          <w:rFonts w:eastAsia="Times New Roman" w:cs="Times New Roman"/>
          <w:sz w:val="24"/>
          <w:szCs w:val="24"/>
        </w:rPr>
      </w:pPr>
    </w:p>
    <w:p w:rsidR="00BB78C4" w:rsidRPr="0090198D" w:rsidRDefault="00BB78C4" w:rsidP="00D41CBC">
      <w:pPr>
        <w:spacing w:before="120" w:after="120"/>
        <w:rPr>
          <w:rFonts w:cs="Times New Roman"/>
          <w:sz w:val="24"/>
          <w:szCs w:val="24"/>
        </w:rPr>
      </w:pPr>
    </w:p>
    <w:sectPr w:rsidR="00BB78C4" w:rsidRPr="0090198D" w:rsidSect="00EB01E6">
      <w:pgSz w:w="11907" w:h="16840"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83E"/>
    <w:rsid w:val="000F06C7"/>
    <w:rsid w:val="0015334E"/>
    <w:rsid w:val="007C74FB"/>
    <w:rsid w:val="0090198D"/>
    <w:rsid w:val="00BB78C4"/>
    <w:rsid w:val="00C24C4A"/>
    <w:rsid w:val="00D41CBC"/>
    <w:rsid w:val="00E0427C"/>
    <w:rsid w:val="00E0583E"/>
    <w:rsid w:val="00EB01E6"/>
    <w:rsid w:val="00FD0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E0583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0583E"/>
    <w:rPr>
      <w:b/>
      <w:bCs/>
    </w:rPr>
  </w:style>
  <w:style w:type="paragraph" w:styleId="NormalWeb">
    <w:name w:val="Normal (Web)"/>
    <w:basedOn w:val="Normal"/>
    <w:uiPriority w:val="99"/>
    <w:semiHidden/>
    <w:unhideWhenUsed/>
    <w:rsid w:val="00E0583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0F06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po">
    <w:name w:val="sapo"/>
    <w:basedOn w:val="Normal"/>
    <w:rsid w:val="00E0583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0583E"/>
    <w:rPr>
      <w:b/>
      <w:bCs/>
    </w:rPr>
  </w:style>
  <w:style w:type="paragraph" w:styleId="NormalWeb">
    <w:name w:val="Normal (Web)"/>
    <w:basedOn w:val="Normal"/>
    <w:uiPriority w:val="99"/>
    <w:semiHidden/>
    <w:unhideWhenUsed/>
    <w:rsid w:val="00E0583E"/>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0F06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457125">
      <w:bodyDiv w:val="1"/>
      <w:marLeft w:val="0"/>
      <w:marRight w:val="0"/>
      <w:marTop w:val="0"/>
      <w:marBottom w:val="0"/>
      <w:divBdr>
        <w:top w:val="none" w:sz="0" w:space="0" w:color="auto"/>
        <w:left w:val="none" w:sz="0" w:space="0" w:color="auto"/>
        <w:bottom w:val="none" w:sz="0" w:space="0" w:color="auto"/>
        <w:right w:val="none" w:sz="0" w:space="0" w:color="auto"/>
      </w:divBdr>
      <w:divsChild>
        <w:div w:id="56785454">
          <w:marLeft w:val="0"/>
          <w:marRight w:val="0"/>
          <w:marTop w:val="0"/>
          <w:marBottom w:val="0"/>
          <w:divBdr>
            <w:top w:val="none" w:sz="0" w:space="0" w:color="auto"/>
            <w:left w:val="none" w:sz="0" w:space="0" w:color="auto"/>
            <w:bottom w:val="none" w:sz="0" w:space="0" w:color="auto"/>
            <w:right w:val="none" w:sz="0" w:space="0" w:color="auto"/>
          </w:divBdr>
        </w:div>
        <w:div w:id="1551767558">
          <w:marLeft w:val="0"/>
          <w:marRight w:val="0"/>
          <w:marTop w:val="120"/>
          <w:marBottom w:val="0"/>
          <w:divBdr>
            <w:top w:val="none" w:sz="0" w:space="0" w:color="auto"/>
            <w:left w:val="none" w:sz="0" w:space="0" w:color="auto"/>
            <w:bottom w:val="none" w:sz="0" w:space="0" w:color="auto"/>
            <w:right w:val="none" w:sz="0" w:space="0" w:color="auto"/>
          </w:divBdr>
        </w:div>
        <w:div w:id="1188715263">
          <w:marLeft w:val="0"/>
          <w:marRight w:val="0"/>
          <w:marTop w:val="0"/>
          <w:marBottom w:val="0"/>
          <w:divBdr>
            <w:top w:val="none" w:sz="0" w:space="0" w:color="auto"/>
            <w:left w:val="none" w:sz="0" w:space="0" w:color="auto"/>
            <w:bottom w:val="none" w:sz="0" w:space="0" w:color="auto"/>
            <w:right w:val="none" w:sz="0" w:space="0" w:color="auto"/>
          </w:divBdr>
          <w:divsChild>
            <w:div w:id="57480322">
              <w:marLeft w:val="0"/>
              <w:marRight w:val="150"/>
              <w:marTop w:val="0"/>
              <w:marBottom w:val="150"/>
              <w:divBdr>
                <w:top w:val="none" w:sz="0" w:space="0" w:color="auto"/>
                <w:left w:val="none" w:sz="0" w:space="0" w:color="auto"/>
                <w:bottom w:val="none" w:sz="0" w:space="0" w:color="auto"/>
                <w:right w:val="none" w:sz="0" w:space="0" w:color="auto"/>
              </w:divBdr>
              <w:divsChild>
                <w:div w:id="915434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ASUS290922</dc:creator>
  <cp:lastModifiedBy>NQC-060922</cp:lastModifiedBy>
  <cp:revision>2</cp:revision>
  <dcterms:created xsi:type="dcterms:W3CDTF">2025-02-13T02:56:00Z</dcterms:created>
  <dcterms:modified xsi:type="dcterms:W3CDTF">2025-02-13T02:56:00Z</dcterms:modified>
</cp:coreProperties>
</file>